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AF" w:rsidRDefault="00890AAF" w:rsidP="00890AAF">
      <w:r>
        <w:t>Alunno ………………………………………………</w:t>
      </w:r>
    </w:p>
    <w:p w:rsidR="00890AAF" w:rsidRDefault="00890AAF" w:rsidP="00890AAF">
      <w:r>
        <w:t>Classe  III……………………………………………</w:t>
      </w:r>
    </w:p>
    <w:p w:rsidR="00890AAF" w:rsidRDefault="00890AAF" w:rsidP="00890AAF">
      <w:r>
        <w:t>Data …………………………………………………</w:t>
      </w:r>
    </w:p>
    <w:p w:rsidR="00890AAF" w:rsidRDefault="00890AAF" w:rsidP="00890AAF">
      <w:pPr>
        <w:ind w:left="2722"/>
        <w:jc w:val="both"/>
        <w:rPr>
          <w:rFonts w:ascii="Baskerville Old Face" w:hAnsi="Baskerville Old Face"/>
          <w:color w:val="C00000"/>
          <w:sz w:val="36"/>
          <w:szCs w:val="36"/>
        </w:rPr>
      </w:pPr>
      <w:r>
        <w:rPr>
          <w:rFonts w:ascii="Baskerville Old Face" w:hAnsi="Baskerville Old Face"/>
          <w:color w:val="C00000"/>
          <w:sz w:val="36"/>
          <w:szCs w:val="36"/>
        </w:rPr>
        <w:t>La Riforma protestante</w:t>
      </w: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La Riforma </w:t>
      </w:r>
      <w:r w:rsidRPr="00890AAF">
        <w:rPr>
          <w:rFonts w:ascii="Baskerville Old Face" w:hAnsi="Baskerville Old Face"/>
          <w:sz w:val="28"/>
          <w:szCs w:val="28"/>
        </w:rPr>
        <w:t>scaturì principalmente da motivazioni religiose dettate dalla riscoperta del </w:t>
      </w:r>
      <w:r w:rsidRPr="00890AAF">
        <w:rPr>
          <w:rFonts w:ascii="Baskerville Old Face" w:hAnsi="Baskerville Old Face"/>
          <w:i/>
          <w:iCs/>
          <w:sz w:val="28"/>
          <w:szCs w:val="28"/>
        </w:rPr>
        <w:t>Vangelo</w:t>
      </w:r>
      <w:r>
        <w:rPr>
          <w:rFonts w:ascii="Baskerville Old Face" w:hAnsi="Baskerville Old Face"/>
          <w:i/>
          <w:iCs/>
          <w:sz w:val="28"/>
          <w:szCs w:val="28"/>
        </w:rPr>
        <w:t xml:space="preserve"> </w:t>
      </w:r>
      <w:r w:rsidRPr="00890AAF">
        <w:rPr>
          <w:rFonts w:ascii="Baskerville Old Face" w:hAnsi="Baskerville Old Face"/>
          <w:sz w:val="28"/>
          <w:szCs w:val="28"/>
        </w:rPr>
        <w:t xml:space="preserve">come annuncio della libera grazia di Dio, donata al peccatore indipendentemente dai suoi meriti, e dalla critica della degenerazione morale e spirituale della Chiesa. Data convenzionale di inizio della </w:t>
      </w:r>
      <w:proofErr w:type="spellStart"/>
      <w:r w:rsidRPr="00890AAF">
        <w:rPr>
          <w:rFonts w:ascii="Baskerville Old Face" w:hAnsi="Baskerville Old Face"/>
          <w:sz w:val="28"/>
          <w:szCs w:val="28"/>
        </w:rPr>
        <w:t>R.p.</w:t>
      </w:r>
      <w:proofErr w:type="spellEnd"/>
      <w:r w:rsidRPr="00890AAF">
        <w:rPr>
          <w:rFonts w:ascii="Baskerville Old Face" w:hAnsi="Baskerville Old Face"/>
          <w:sz w:val="28"/>
          <w:szCs w:val="28"/>
        </w:rPr>
        <w:t xml:space="preserve"> è il 31 ott. 1517, giorno in cui M. Lutero avrebbe affisso alla porta della chiesa del castello di Wittenberg le sue </w:t>
      </w:r>
      <w:r w:rsidRPr="00890AAF">
        <w:rPr>
          <w:rFonts w:ascii="Baskerville Old Face" w:hAnsi="Baskerville Old Face"/>
          <w:i/>
          <w:iCs/>
          <w:sz w:val="28"/>
          <w:szCs w:val="28"/>
        </w:rPr>
        <w:t>95 tesi</w:t>
      </w:r>
      <w:r w:rsidRPr="00890AAF">
        <w:rPr>
          <w:rFonts w:ascii="Baskerville Old Face" w:hAnsi="Baskerville Old Face"/>
          <w:sz w:val="28"/>
          <w:szCs w:val="28"/>
        </w:rPr>
        <w:t> contro lo scandalo delle indulgenze, affrontando i problemi della penitenza, del peccato e della grazia. La dottrina luterana divenne arma di lotta politica dei principi tedeschi, che videro in essa la possibilità di sottrarsi all'autorità imperiale e di incamerare i beni ecclesiastici. Dopo le diete di Spira (1529) e di Augusta (1530), essi si unirono nella Lega di Smalcalda (1530) e lottarono contro l'imperatore Carlo V fino alla Pace di Augusta (1555), con la quale si sancì la divisione tra cattolici e protestanti in base al principio </w:t>
      </w:r>
      <w:proofErr w:type="spellStart"/>
      <w:r w:rsidRPr="00890AAF">
        <w:rPr>
          <w:rFonts w:ascii="Baskerville Old Face" w:hAnsi="Baskerville Old Face"/>
          <w:i/>
          <w:iCs/>
          <w:sz w:val="28"/>
          <w:szCs w:val="28"/>
        </w:rPr>
        <w:t>cuius</w:t>
      </w:r>
      <w:proofErr w:type="spellEnd"/>
      <w:r w:rsidRPr="00890AAF">
        <w:rPr>
          <w:rFonts w:ascii="Baskerville Old Face" w:hAnsi="Baskerville Old Face"/>
          <w:i/>
          <w:iCs/>
          <w:sz w:val="28"/>
          <w:szCs w:val="28"/>
        </w:rPr>
        <w:t xml:space="preserve"> regio, </w:t>
      </w:r>
      <w:proofErr w:type="spellStart"/>
      <w:r w:rsidRPr="00890AAF">
        <w:rPr>
          <w:rFonts w:ascii="Baskerville Old Face" w:hAnsi="Baskerville Old Face"/>
          <w:i/>
          <w:iCs/>
          <w:sz w:val="28"/>
          <w:szCs w:val="28"/>
        </w:rPr>
        <w:t>eius</w:t>
      </w:r>
      <w:proofErr w:type="spellEnd"/>
      <w:r w:rsidRPr="00890AAF">
        <w:rPr>
          <w:rFonts w:ascii="Baskerville Old Face" w:hAnsi="Baskerville Old Face"/>
          <w:i/>
          <w:iCs/>
          <w:sz w:val="28"/>
          <w:szCs w:val="28"/>
        </w:rPr>
        <w:t xml:space="preserve"> </w:t>
      </w:r>
      <w:proofErr w:type="spellStart"/>
      <w:r w:rsidRPr="00890AAF">
        <w:rPr>
          <w:rFonts w:ascii="Baskerville Old Face" w:hAnsi="Baskerville Old Face"/>
          <w:i/>
          <w:iCs/>
          <w:sz w:val="28"/>
          <w:szCs w:val="28"/>
        </w:rPr>
        <w:t>religio</w:t>
      </w:r>
      <w:proofErr w:type="spellEnd"/>
      <w:r w:rsidRPr="00890AAF">
        <w:rPr>
          <w:rFonts w:ascii="Baskerville Old Face" w:hAnsi="Baskerville Old Face"/>
          <w:sz w:val="28"/>
          <w:szCs w:val="28"/>
        </w:rPr>
        <w:t> che imponeva ai sudditi di seguire la religione del loro principe, cattolico o luterano che fosse. La dottrina luterana si affermò soprattutto in Germania,</w:t>
      </w:r>
      <w:r>
        <w:rPr>
          <w:rFonts w:ascii="Baskerville Old Face" w:hAnsi="Baskerville Old Face"/>
          <w:sz w:val="28"/>
          <w:szCs w:val="28"/>
        </w:rPr>
        <w:t xml:space="preserve"> nei paesi scandinavi e baltici. </w:t>
      </w: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  <w:r w:rsidRPr="00890AAF">
        <w:rPr>
          <w:rFonts w:ascii="Baskerville Old Face" w:hAnsi="Baskerville Old Face"/>
          <w:sz w:val="28"/>
          <w:szCs w:val="28"/>
        </w:rPr>
        <w:t xml:space="preserve">Contemporaneamente, a Zurigo, H. </w:t>
      </w:r>
      <w:proofErr w:type="spellStart"/>
      <w:r w:rsidRPr="00890AAF">
        <w:rPr>
          <w:rFonts w:ascii="Baskerville Old Face" w:hAnsi="Baskerville Old Face"/>
          <w:sz w:val="28"/>
          <w:szCs w:val="28"/>
        </w:rPr>
        <w:t>Zwingli</w:t>
      </w:r>
      <w:proofErr w:type="spellEnd"/>
      <w:r w:rsidRPr="00890AAF">
        <w:rPr>
          <w:rFonts w:ascii="Baskerville Old Face" w:hAnsi="Baskerville Old Face"/>
          <w:sz w:val="28"/>
          <w:szCs w:val="28"/>
        </w:rPr>
        <w:t>, con l'appoggio delle autorità locali, aveva attuato un piano di riforme antipapali e anticuriali (diffuse in Svizzera e in Germania merid.), ma alla sua morte (1531) il centro della Riforma divenne Ginevra, dove G. Calvino attuò una rigida organizzazione teocratica e codificò le tesi riformate, accentuando il tema della predestinazione. La dottrina calvinista (o riformata) si diffuse in Europa e nelle colonie inglesi in America. In Inghilterra, a seguito della politica antipapale di Enrico VIII (Atto di supremazia, 1534), si affermò la Chiesa anglicana, che conservò l'episcopato e forme di culto tradizionali, pur facendo propria la teologia riformata. Nell'ambito della crisi religiosa del Cinquecento si diffusero anche sette e movimenti di riforma radicale, duramente contrastati sia dai cattolici sia dai riformatori. Tra questi gli anabattisti, gli antitrinitari e i sociniani.</w:t>
      </w: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  <w:r w:rsidRPr="00890AAF">
        <w:rPr>
          <w:rFonts w:ascii="Baskerville Old Face" w:hAnsi="Baskerville Old Face"/>
          <w:sz w:val="28"/>
          <w:szCs w:val="28"/>
        </w:rPr>
        <w:lastRenderedPageBreak/>
        <w:t xml:space="preserve">Sulla base del principio basilare della </w:t>
      </w:r>
      <w:proofErr w:type="spellStart"/>
      <w:r w:rsidRPr="00890AAF">
        <w:rPr>
          <w:rFonts w:ascii="Baskerville Old Face" w:hAnsi="Baskerville Old Face"/>
          <w:sz w:val="28"/>
          <w:szCs w:val="28"/>
        </w:rPr>
        <w:t>R.p.</w:t>
      </w:r>
      <w:proofErr w:type="spellEnd"/>
      <w:r w:rsidRPr="00890AAF">
        <w:rPr>
          <w:rFonts w:ascii="Baskerville Old Face" w:hAnsi="Baskerville Old Face"/>
          <w:sz w:val="28"/>
          <w:szCs w:val="28"/>
        </w:rPr>
        <w:t>,</w:t>
      </w:r>
      <w:r>
        <w:rPr>
          <w:rFonts w:ascii="Baskerville Old Face" w:hAnsi="Baskerville Old Face"/>
          <w:sz w:val="28"/>
          <w:szCs w:val="28"/>
        </w:rPr>
        <w:t xml:space="preserve"> (riforma protestante </w:t>
      </w:r>
      <w:proofErr w:type="spellStart"/>
      <w:r>
        <w:rPr>
          <w:rFonts w:ascii="Baskerville Old Face" w:hAnsi="Baskerville Old Face"/>
          <w:sz w:val="28"/>
          <w:szCs w:val="28"/>
        </w:rPr>
        <w:t>n.d.r.</w:t>
      </w:r>
      <w:proofErr w:type="spellEnd"/>
      <w:r>
        <w:rPr>
          <w:rFonts w:ascii="Baskerville Old Face" w:hAnsi="Baskerville Old Face"/>
          <w:sz w:val="28"/>
          <w:szCs w:val="28"/>
        </w:rPr>
        <w:t>)</w:t>
      </w:r>
      <w:r w:rsidRPr="00890AAF">
        <w:rPr>
          <w:rFonts w:ascii="Baskerville Old Face" w:hAnsi="Baskerville Old Face"/>
          <w:sz w:val="28"/>
          <w:szCs w:val="28"/>
        </w:rPr>
        <w:t xml:space="preserve"> ossia la giustificazione per sola fede, la parola biblica (suggellata dai sacramenti di battesimo ed eucaristia) divenne l'elemento centrale della fede e il fondamento della Chiesa. Il principio d'autorità venne sostituito dal libero esame e dal principio della responsabilità personale del credente davanti a Dio e al prossimo. Venne inoltre eliminata la differenza tra clero e laicato nella Chiesa e affermato il sacerdozio universale dei credenti. Fu infine introdotta la distinzione tra potere civile ed ecclesiastico che avviò il processo di secolarizzazione della società.</w:t>
      </w: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</w:p>
    <w:p w:rsidR="00890AAF" w:rsidRPr="00890AAF" w:rsidRDefault="00890AAF" w:rsidP="00890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90AAF"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sz w:val="24"/>
          <w:szCs w:val="24"/>
        </w:rPr>
        <w:t xml:space="preserve">le motivazioni da cui scaturisce la Riforma sono : 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 w:rsidRPr="00890AAF">
        <w:rPr>
          <w:rFonts w:ascii="Times New Roman" w:hAnsi="Times New Roman" w:cs="Times New Roman"/>
          <w:sz w:val="24"/>
          <w:szCs w:val="24"/>
        </w:rPr>
        <w:t xml:space="preserve">a : </w:t>
      </w:r>
      <w:r>
        <w:rPr>
          <w:rFonts w:ascii="Times New Roman" w:hAnsi="Times New Roman" w:cs="Times New Roman"/>
          <w:sz w:val="24"/>
          <w:szCs w:val="24"/>
        </w:rPr>
        <w:t>morali e spirituali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 w:rsidRPr="00890AAF">
        <w:rPr>
          <w:rFonts w:ascii="Times New Roman" w:hAnsi="Times New Roman" w:cs="Times New Roman"/>
          <w:sz w:val="24"/>
          <w:szCs w:val="24"/>
        </w:rPr>
        <w:t xml:space="preserve">b : </w:t>
      </w:r>
      <w:r>
        <w:rPr>
          <w:rFonts w:ascii="Times New Roman" w:hAnsi="Times New Roman" w:cs="Times New Roman"/>
          <w:sz w:val="24"/>
          <w:szCs w:val="24"/>
        </w:rPr>
        <w:t>ecclesiastiche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 w:rsidRPr="00890AAF"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ascii="Times New Roman" w:hAnsi="Times New Roman" w:cs="Times New Roman"/>
          <w:sz w:val="24"/>
          <w:szCs w:val="24"/>
        </w:rPr>
        <w:t>: religiose</w:t>
      </w:r>
    </w:p>
    <w:p w:rsid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: critiche</w:t>
      </w:r>
    </w:p>
    <w:p w:rsid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0AAF" w:rsidRPr="00890AAF" w:rsidRDefault="00A542A7" w:rsidP="00890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90AAF" w:rsidRPr="00890AAF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890AAF">
        <w:rPr>
          <w:rFonts w:ascii="Times New Roman" w:hAnsi="Times New Roman" w:cs="Times New Roman"/>
          <w:b/>
          <w:sz w:val="24"/>
          <w:szCs w:val="24"/>
        </w:rPr>
        <w:t xml:space="preserve"> perché i principi tedeschi appoggiano la Riforma :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: perché si opponevano a Lutero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: perché erano rivali l’uno degli altri 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 w:rsidRPr="00890AAF">
        <w:rPr>
          <w:rFonts w:ascii="Times New Roman" w:hAnsi="Times New Roman" w:cs="Times New Roman"/>
          <w:sz w:val="24"/>
          <w:szCs w:val="24"/>
        </w:rPr>
        <w:t>c : per r</w:t>
      </w:r>
      <w:r w:rsidR="00A542A7">
        <w:rPr>
          <w:rFonts w:ascii="Times New Roman" w:hAnsi="Times New Roman" w:cs="Times New Roman"/>
          <w:sz w:val="24"/>
          <w:szCs w:val="24"/>
        </w:rPr>
        <w:t>ibellarsi all’imperatore e impossessarsi dei beni della Chiesa</w:t>
      </w:r>
    </w:p>
    <w:p w:rsidR="00890AAF" w:rsidRPr="00890AAF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: perché non erano cattolici</w:t>
      </w:r>
    </w:p>
    <w:p w:rsidR="00890AAF" w:rsidRPr="00890AAF" w:rsidRDefault="00890AAF" w:rsidP="00890A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AAF" w:rsidRPr="00890AAF" w:rsidRDefault="00890AAF" w:rsidP="00890A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AAF" w:rsidRPr="00890AAF" w:rsidRDefault="00A542A7" w:rsidP="00A542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90AAF" w:rsidRPr="00890AAF"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sz w:val="24"/>
          <w:szCs w:val="24"/>
        </w:rPr>
        <w:t>da dove parte la riforma di Calvino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: Spira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: Ginevra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: Augusta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: Smalcalda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2A7" w:rsidRPr="00A542A7" w:rsidRDefault="00A542A7" w:rsidP="00890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2A7">
        <w:rPr>
          <w:rFonts w:ascii="Times New Roman" w:hAnsi="Times New Roman" w:cs="Times New Roman"/>
          <w:b/>
          <w:sz w:val="24"/>
          <w:szCs w:val="24"/>
        </w:rPr>
        <w:lastRenderedPageBreak/>
        <w:t>4 : secondo la Riforma Protestante qual è l’elemento centrale della fede?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: le 95 tesi di Lutero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: la sola parola biblica</w:t>
      </w: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: la parola biblica insieme ad alcuni sacramenti</w:t>
      </w:r>
    </w:p>
    <w:p w:rsidR="00A542A7" w:rsidRPr="00890AAF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: i sacramenti</w:t>
      </w:r>
    </w:p>
    <w:p w:rsidR="00890AAF" w:rsidRDefault="00890AAF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2A7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2A7">
        <w:rPr>
          <w:rFonts w:ascii="Times New Roman" w:hAnsi="Times New Roman" w:cs="Times New Roman"/>
          <w:b/>
          <w:sz w:val="24"/>
          <w:szCs w:val="24"/>
        </w:rPr>
        <w:t xml:space="preserve">5 : Basandoti </w:t>
      </w:r>
      <w:r>
        <w:rPr>
          <w:rFonts w:ascii="Times New Roman" w:hAnsi="Times New Roman" w:cs="Times New Roman"/>
          <w:b/>
          <w:sz w:val="24"/>
          <w:szCs w:val="24"/>
        </w:rPr>
        <w:t xml:space="preserve">su elementi presenti nel brano </w:t>
      </w:r>
      <w:r w:rsidRPr="00A542A7">
        <w:rPr>
          <w:rFonts w:ascii="Times New Roman" w:hAnsi="Times New Roman" w:cs="Times New Roman"/>
          <w:b/>
          <w:sz w:val="24"/>
          <w:szCs w:val="24"/>
        </w:rPr>
        <w:t xml:space="preserve">descrivi </w:t>
      </w:r>
      <w:bookmarkStart w:id="0" w:name="_Hlk492837868"/>
      <w:r>
        <w:rPr>
          <w:rFonts w:ascii="Times New Roman" w:hAnsi="Times New Roman" w:cs="Times New Roman"/>
          <w:b/>
          <w:sz w:val="24"/>
          <w:szCs w:val="24"/>
        </w:rPr>
        <w:t>la diffusione progressiva della Riforma in Europa mettendone in successione le tappe</w:t>
      </w:r>
      <w:r w:rsidR="00FA68A9">
        <w:rPr>
          <w:rFonts w:ascii="Times New Roman" w:hAnsi="Times New Roman" w:cs="Times New Roman"/>
          <w:b/>
          <w:sz w:val="24"/>
          <w:szCs w:val="24"/>
        </w:rPr>
        <w:t>.</w:t>
      </w:r>
    </w:p>
    <w:p w:rsidR="00A542A7" w:rsidRDefault="00A542A7" w:rsidP="00A542A7">
      <w:pPr>
        <w:jc w:val="both"/>
        <w:rPr>
          <w:rFonts w:ascii="Times New Roman" w:hAnsi="Times New Roman" w:cs="Times New Roman"/>
          <w:sz w:val="24"/>
          <w:szCs w:val="24"/>
        </w:rPr>
      </w:pPr>
      <w:r w:rsidRPr="00A542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</w:p>
    <w:p w:rsidR="00A542A7" w:rsidRDefault="00A542A7" w:rsidP="00A542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2A7" w:rsidRDefault="00A542A7" w:rsidP="00A542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542A7">
        <w:rPr>
          <w:rFonts w:ascii="Times New Roman" w:hAnsi="Times New Roman" w:cs="Times New Roman"/>
          <w:b/>
          <w:sz w:val="24"/>
          <w:szCs w:val="24"/>
        </w:rPr>
        <w:t xml:space="preserve"> : Basandoti su elementi presenti nel brano</w:t>
      </w:r>
      <w:r>
        <w:rPr>
          <w:rFonts w:ascii="Times New Roman" w:hAnsi="Times New Roman" w:cs="Times New Roman"/>
          <w:b/>
          <w:sz w:val="24"/>
          <w:szCs w:val="24"/>
        </w:rPr>
        <w:t xml:space="preserve"> e sulle tue conoscenze personali spiega perché Lutero criticava la degenerazione della Chiesa</w:t>
      </w:r>
      <w:r w:rsidR="00FA68A9">
        <w:rPr>
          <w:rFonts w:ascii="Times New Roman" w:hAnsi="Times New Roman" w:cs="Times New Roman"/>
          <w:b/>
          <w:sz w:val="24"/>
          <w:szCs w:val="24"/>
        </w:rPr>
        <w:t>.</w:t>
      </w:r>
      <w:bookmarkStart w:id="1" w:name="_GoBack"/>
      <w:bookmarkEnd w:id="1"/>
    </w:p>
    <w:p w:rsidR="00A542A7" w:rsidRP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2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42A7" w:rsidRP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Pr="00EA70FF" w:rsidRDefault="00EA70FF" w:rsidP="00EA70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Conoscenze 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principali persistenze e processi di trasformazione tra il secolo XI e XIX in Italia, in Europa e nel mondo;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lessico delle scienze storico-sociali;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aspetti della storia locale quali configurazioni della storia generale;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FF">
        <w:rPr>
          <w:rFonts w:ascii="Times New Roman" w:hAnsi="Times New Roman" w:cs="Times New Roman"/>
          <w:b/>
          <w:sz w:val="24"/>
          <w:szCs w:val="24"/>
        </w:rPr>
        <w:t>Abilità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ricostruire processi di trasformazione individuando elementi di persistenza e discontinuità;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utilizzare il lessico delle scienze storico-sociali;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utilizzare il lessico di base delle scienze storico-sociali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FF">
        <w:rPr>
          <w:rFonts w:ascii="Times New Roman" w:hAnsi="Times New Roman" w:cs="Times New Roman"/>
          <w:b/>
          <w:sz w:val="24"/>
          <w:szCs w:val="24"/>
        </w:rPr>
        <w:t xml:space="preserve">Competenze 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- Comprendere il cambiamento e la diversità dei tempi storici in una dimensione diacronica attraverso il confronto fra epoche e in una dimensione sincronica attraverso il confronto fra aree geografiche e culturali :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a : Collocare i più rilevanti eventi storici affrontati secondo le coordinate spaziotempo</w:t>
      </w:r>
    </w:p>
    <w:p w:rsidR="00EA70FF" w:rsidRPr="00EA70FF" w:rsidRDefault="00EA70FF" w:rsidP="00EA70FF">
      <w:pPr>
        <w:jc w:val="both"/>
        <w:rPr>
          <w:rFonts w:ascii="Times New Roman" w:hAnsi="Times New Roman" w:cs="Times New Roman"/>
          <w:sz w:val="24"/>
          <w:szCs w:val="24"/>
        </w:rPr>
      </w:pPr>
      <w:r w:rsidRPr="00EA70FF">
        <w:rPr>
          <w:rFonts w:ascii="Times New Roman" w:hAnsi="Times New Roman" w:cs="Times New Roman"/>
          <w:sz w:val="24"/>
          <w:szCs w:val="24"/>
        </w:rPr>
        <w:t>b : Identificare gli elementi maggiormente significativi per confrontare aree e periodi diversi</w:t>
      </w:r>
    </w:p>
    <w:p w:rsidR="00EA70FF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0FF" w:rsidRPr="00A542A7" w:rsidRDefault="00EA70FF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42A7" w:rsidRPr="00A542A7" w:rsidRDefault="00A542A7" w:rsidP="00A542A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42A7" w:rsidRPr="00890AAF" w:rsidRDefault="00A542A7" w:rsidP="00890A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0AAF" w:rsidRP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</w:p>
    <w:p w:rsidR="00890AAF" w:rsidRP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</w:p>
    <w:p w:rsidR="00890AAF" w:rsidRDefault="00890AAF" w:rsidP="00890AAF">
      <w:pPr>
        <w:ind w:left="2722"/>
        <w:jc w:val="both"/>
        <w:rPr>
          <w:rFonts w:ascii="Baskerville Old Face" w:hAnsi="Baskerville Old Face"/>
          <w:sz w:val="28"/>
          <w:szCs w:val="28"/>
        </w:rPr>
      </w:pPr>
    </w:p>
    <w:p w:rsidR="00890AAF" w:rsidRDefault="00890AAF"/>
    <w:sectPr w:rsidR="00890AAF" w:rsidSect="00F82705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DE2" w:rsidRDefault="00D63DE2" w:rsidP="00A542A7">
      <w:pPr>
        <w:spacing w:after="0" w:line="240" w:lineRule="auto"/>
      </w:pPr>
      <w:r>
        <w:separator/>
      </w:r>
    </w:p>
  </w:endnote>
  <w:endnote w:type="continuationSeparator" w:id="0">
    <w:p w:rsidR="00D63DE2" w:rsidRDefault="00D63DE2" w:rsidP="00A5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702616"/>
      <w:docPartObj>
        <w:docPartGallery w:val="Page Numbers (Bottom of Page)"/>
        <w:docPartUnique/>
      </w:docPartObj>
    </w:sdtPr>
    <w:sdtContent>
      <w:p w:rsidR="00A542A7" w:rsidRDefault="00F82705">
        <w:pPr>
          <w:pStyle w:val="Pidipagina"/>
          <w:jc w:val="right"/>
        </w:pPr>
        <w:r>
          <w:fldChar w:fldCharType="begin"/>
        </w:r>
        <w:r w:rsidR="00A542A7">
          <w:instrText>PAGE   \* MERGEFORMAT</w:instrText>
        </w:r>
        <w:r>
          <w:fldChar w:fldCharType="separate"/>
        </w:r>
        <w:r w:rsidR="005D3D91">
          <w:rPr>
            <w:noProof/>
          </w:rPr>
          <w:t>2</w:t>
        </w:r>
        <w:r>
          <w:fldChar w:fldCharType="end"/>
        </w:r>
      </w:p>
    </w:sdtContent>
  </w:sdt>
  <w:p w:rsidR="00A542A7" w:rsidRDefault="00A542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DE2" w:rsidRDefault="00D63DE2" w:rsidP="00A542A7">
      <w:pPr>
        <w:spacing w:after="0" w:line="240" w:lineRule="auto"/>
      </w:pPr>
      <w:r>
        <w:separator/>
      </w:r>
    </w:p>
  </w:footnote>
  <w:footnote w:type="continuationSeparator" w:id="0">
    <w:p w:rsidR="00D63DE2" w:rsidRDefault="00D63DE2" w:rsidP="00A542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AAF"/>
    <w:rsid w:val="005D3D91"/>
    <w:rsid w:val="007008D6"/>
    <w:rsid w:val="00890AAF"/>
    <w:rsid w:val="00A542A7"/>
    <w:rsid w:val="00D63DE2"/>
    <w:rsid w:val="00EA70FF"/>
    <w:rsid w:val="00F82705"/>
    <w:rsid w:val="00FA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27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42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42A7"/>
  </w:style>
  <w:style w:type="paragraph" w:styleId="Pidipagina">
    <w:name w:val="footer"/>
    <w:basedOn w:val="Normale"/>
    <w:link w:val="PidipaginaCarattere"/>
    <w:uiPriority w:val="99"/>
    <w:unhideWhenUsed/>
    <w:rsid w:val="00A542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4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M.</dc:creator>
  <cp:keywords/>
  <dc:description/>
  <cp:lastModifiedBy>BIBLIOTECA SANNINO</cp:lastModifiedBy>
  <cp:revision>2</cp:revision>
  <dcterms:created xsi:type="dcterms:W3CDTF">2017-11-10T09:39:00Z</dcterms:created>
  <dcterms:modified xsi:type="dcterms:W3CDTF">2017-11-10T09:39:00Z</dcterms:modified>
</cp:coreProperties>
</file>